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F59" w:rsidRDefault="00DA5555">
      <w:pPr>
        <w:tabs>
          <w:tab w:val="left" w:pos="4065"/>
        </w:tabs>
        <w:ind w:left="-787" w:firstLine="787"/>
        <w:jc w:val="right"/>
        <w:rPr>
          <w:i/>
          <w:color w:val="808080"/>
        </w:rPr>
      </w:pPr>
      <w:bookmarkStart w:id="0" w:name="_GoBack"/>
      <w:bookmarkEnd w:id="0"/>
      <w:r>
        <w:rPr>
          <w:i/>
          <w:color w:val="00B0F0"/>
        </w:rPr>
        <w:t xml:space="preserve">Додаток 15.5 </w:t>
      </w:r>
      <w:r>
        <w:rPr>
          <w:i/>
          <w:color w:val="808080"/>
        </w:rPr>
        <w:t>до Публічної пропозиції АБ «УКРГАЗБАНК»</w:t>
      </w:r>
    </w:p>
    <w:p w:rsidR="00351F59" w:rsidRDefault="00DA5555">
      <w:pPr>
        <w:ind w:left="284" w:firstLine="284"/>
        <w:jc w:val="right"/>
        <w:rPr>
          <w:i/>
          <w:color w:val="808080"/>
        </w:rPr>
      </w:pPr>
      <w:r>
        <w:rPr>
          <w:i/>
          <w:color w:val="808080"/>
        </w:rPr>
        <w:t xml:space="preserve"> на укладання договору комплексного банківського обслуговування</w:t>
      </w:r>
    </w:p>
    <w:p w:rsidR="00351F59" w:rsidRDefault="00351F59">
      <w:pPr>
        <w:widowControl/>
        <w:ind w:left="3960" w:hanging="3420"/>
        <w:rPr>
          <w:rFonts w:ascii="Times New Roman" w:eastAsia="Times New Roman" w:hAnsi="Times New Roman" w:cs="Times New Roman"/>
          <w:sz w:val="21"/>
          <w:szCs w:val="21"/>
        </w:rPr>
      </w:pPr>
    </w:p>
    <w:p w:rsidR="00351F59" w:rsidRDefault="00351F59">
      <w:pPr>
        <w:widowControl/>
        <w:ind w:left="3960" w:hanging="3420"/>
        <w:rPr>
          <w:rFonts w:ascii="Times New Roman" w:eastAsia="Times New Roman" w:hAnsi="Times New Roman" w:cs="Times New Roman"/>
          <w:sz w:val="21"/>
          <w:szCs w:val="21"/>
        </w:rPr>
      </w:pPr>
    </w:p>
    <w:p w:rsidR="00351F59" w:rsidRDefault="00351F59">
      <w:pPr>
        <w:widowControl/>
        <w:ind w:left="3960" w:hanging="3420"/>
        <w:rPr>
          <w:rFonts w:ascii="Times New Roman" w:eastAsia="Times New Roman" w:hAnsi="Times New Roman" w:cs="Times New Roman"/>
          <w:sz w:val="21"/>
          <w:szCs w:val="21"/>
        </w:rPr>
      </w:pPr>
    </w:p>
    <w:p w:rsidR="00351F59" w:rsidRDefault="00DA5555">
      <w:pPr>
        <w:widowControl/>
        <w:ind w:left="3960" w:hanging="3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noProof/>
          <w:lang w:val="uk-UA" w:eastAsia="uk-UA"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1838325</wp:posOffset>
            </wp:positionH>
            <wp:positionV relativeFrom="paragraph">
              <wp:posOffset>14605</wp:posOffset>
            </wp:positionV>
            <wp:extent cx="2484120" cy="524510"/>
            <wp:effectExtent l="0" t="0" r="0" b="0"/>
            <wp:wrapNone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5245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51F59" w:rsidRDefault="00351F59">
      <w:pPr>
        <w:widowControl/>
        <w:ind w:left="3960" w:hanging="3420"/>
        <w:jc w:val="right"/>
        <w:rPr>
          <w:rFonts w:ascii="Times New Roman" w:eastAsia="Times New Roman" w:hAnsi="Times New Roman" w:cs="Times New Roman"/>
        </w:rPr>
      </w:pPr>
    </w:p>
    <w:p w:rsidR="00351F59" w:rsidRDefault="00351F59">
      <w:pPr>
        <w:widowControl/>
        <w:ind w:left="3960" w:hanging="3420"/>
        <w:rPr>
          <w:rFonts w:ascii="Times New Roman" w:eastAsia="Times New Roman" w:hAnsi="Times New Roman" w:cs="Times New Roman"/>
          <w:sz w:val="21"/>
          <w:szCs w:val="21"/>
        </w:rPr>
      </w:pPr>
    </w:p>
    <w:p w:rsidR="00351F59" w:rsidRDefault="00351F59">
      <w:pPr>
        <w:widowControl/>
        <w:ind w:left="3960" w:hanging="3420"/>
        <w:rPr>
          <w:rFonts w:ascii="Times New Roman" w:eastAsia="Times New Roman" w:hAnsi="Times New Roman" w:cs="Times New Roman"/>
          <w:sz w:val="21"/>
          <w:szCs w:val="21"/>
        </w:rPr>
      </w:pPr>
    </w:p>
    <w:p w:rsidR="00351F59" w:rsidRDefault="00DA5555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Інструкція щодо забезпечення захисту ключів Кваліфікованого ЕП на клієнтському місці</w:t>
      </w:r>
    </w:p>
    <w:p w:rsidR="00351F59" w:rsidRDefault="00351F59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</w:rPr>
      </w:pPr>
    </w:p>
    <w:p w:rsidR="00351F59" w:rsidRDefault="00DA5555">
      <w:pPr>
        <w:widowControl/>
        <w:ind w:left="426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Всі терміни, що використовуються у тексті цієї Інструкції щодо забезпечення захисту ключів Кваліфікованого ЕП на клієнтському місці (далі – Інструкція) мають значення, ви</w:t>
      </w:r>
      <w:r>
        <w:rPr>
          <w:rFonts w:ascii="Times New Roman" w:eastAsia="Times New Roman" w:hAnsi="Times New Roman" w:cs="Times New Roman"/>
        </w:rPr>
        <w:t xml:space="preserve">кладені у Договорі комплексного банківського обслуговування. </w:t>
      </w:r>
    </w:p>
    <w:p w:rsidR="00351F59" w:rsidRDefault="00351F59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</w:rPr>
      </w:pP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Клієнт повинен генерувати та зберігати Особистий ключ Кваліфікованого ЕП чи Печатки виключно у Засобі Кваліфікованого ЕП чи Печатки, наданому Банком, а у разі укладення між Банком та Клієнтом в</w:t>
      </w:r>
      <w:r>
        <w:rPr>
          <w:rFonts w:ascii="Times New Roman" w:eastAsia="Times New Roman" w:hAnsi="Times New Roman" w:cs="Times New Roman"/>
        </w:rPr>
        <w:t xml:space="preserve">ідповідної угоди — на власному з’ємному носію інформації (далі — Носій), у разі якщо таке зберігання дозволене законодавством у сфері електронних довірчих послуг та не допускати зберігання Особистого ключа Кваліфікованого ЕП чи Печатки на комп’ютері. 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Кліє</w:t>
      </w:r>
      <w:r>
        <w:rPr>
          <w:rFonts w:ascii="Times New Roman" w:eastAsia="Times New Roman" w:hAnsi="Times New Roman" w:cs="Times New Roman"/>
        </w:rPr>
        <w:t xml:space="preserve">нт не має права надавати Носій з ключами Кваліфікованого ЕП у користування третім особам та іншим уповноваженим особам, якщо у Клієнта передбачено дві (або більше) груп підпису, залишати його без нагляду, повідомляти пароль (PIN-код) або код розблокування </w:t>
      </w:r>
      <w:r>
        <w:rPr>
          <w:rFonts w:ascii="Times New Roman" w:eastAsia="Times New Roman" w:hAnsi="Times New Roman" w:cs="Times New Roman"/>
        </w:rPr>
        <w:t>Носія, або логін, пароль та ПІН-код доступу до Особистого ключа Кваліфікованого ЕП чи Печатки, що зберігається у HSM третім особам, у тому числі працівникам Банку.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Клієнт самостійно відповідає за схоронність ключів Кваліфікованого ЕП і повинен зберігати Но</w:t>
      </w:r>
      <w:r>
        <w:rPr>
          <w:rFonts w:ascii="Times New Roman" w:eastAsia="Times New Roman" w:hAnsi="Times New Roman" w:cs="Times New Roman"/>
        </w:rPr>
        <w:t>сій в добре захищеному місці (наприклад, в сейфі), яке виключає можливість використання Носія сторонніми особами.</w:t>
      </w:r>
    </w:p>
    <w:p w:rsidR="00351F59" w:rsidRDefault="00DA5555">
      <w:pPr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Забезпечити використання виключно засобів Кваліфікованого ЕП чи Печатки для генерації Особистих та Відкритих ключів, формування та перевірки Кваліфіконого ЕП чи Печатки. Інші засоби можуть використовуватись лише у разі, якщо використання таких засобів дозв</w:t>
      </w:r>
      <w:r>
        <w:rPr>
          <w:rFonts w:ascii="Times New Roman" w:eastAsia="Times New Roman" w:hAnsi="Times New Roman" w:cs="Times New Roman"/>
        </w:rPr>
        <w:t>олено законодавством у сфері електронних довірчих послуг.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Використовувати Особистий ключ виключно за його призначенням, визначеним в Сертифікаті відповідного Відкритого ключа, а також додержуватися інших вимог використання Особистого ключа, визначених Регл</w:t>
      </w:r>
      <w:r>
        <w:rPr>
          <w:rFonts w:ascii="Times New Roman" w:eastAsia="Times New Roman" w:hAnsi="Times New Roman" w:cs="Times New Roman"/>
        </w:rPr>
        <w:t>аментом КНЕДП.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Забезпечити зберігання Особистого ключа у таємниці та у спосіб, що унеможливлює його використання іншими особами. 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Забезпечити використання Особистих ключів та паролів доступу в спосіб, що унеможливлює ознайомлення із ним інших осіб.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Забезпе</w:t>
      </w:r>
      <w:r>
        <w:rPr>
          <w:rFonts w:ascii="Times New Roman" w:eastAsia="Times New Roman" w:hAnsi="Times New Roman" w:cs="Times New Roman"/>
        </w:rPr>
        <w:t>чити конфіденційність своїх автентифікаційних даних доступу до Особистого ключа у HSM КНЕДП, у спосіб, що унеможливлює ознайомлення із ними інших осіб.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 розголошувати та не повідомляти іншим особам пароль доступу до Особистого ключа.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Забезпечити виконанн</w:t>
      </w:r>
      <w:r>
        <w:rPr>
          <w:rFonts w:ascii="Times New Roman" w:eastAsia="Times New Roman" w:hAnsi="Times New Roman" w:cs="Times New Roman"/>
        </w:rPr>
        <w:t>я Підписувачами умов щодо нерозголошення  іншим особам коду доступу до захищеного носія Особистого ключа та парольної фрази голосової аутентифікації.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Негайно інформувати КНЕДП про компрометацію Особистого ключа, втрату контролю щодо Особистого ключа через </w:t>
      </w:r>
      <w:r>
        <w:rPr>
          <w:rFonts w:ascii="Times New Roman" w:eastAsia="Times New Roman" w:hAnsi="Times New Roman" w:cs="Times New Roman"/>
        </w:rPr>
        <w:t xml:space="preserve">компрометацію пароля, коду доступу до нього, фізичне пошкодження або втрату носія тощо, виявлену неточність або зміну даних, зазначених у Сертифікаті. 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Клієнт повинен виймати Носій з комп’ютера у моменти, коли він безпосередньо не здійснює підписання документів в Системі (при безконтрольному підключенні Носія до комп’ютера існує ризик, що зловмисник за допомогою вірусних програм отримає віддалене управлін</w:t>
      </w:r>
      <w:r>
        <w:rPr>
          <w:rFonts w:ascii="Times New Roman" w:eastAsia="Times New Roman" w:hAnsi="Times New Roman" w:cs="Times New Roman"/>
        </w:rPr>
        <w:t>ня комп’ютером, і відповідно підключеним Носієм, і виконає шахрайські операції від імені Клієнта).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Клієнт повинен уникати випадків одночасного підключення до комп’ютера, з якого здійснюється робота в Системі, декількох Носіїв, якщо у Клієнта передбачено дв</w:t>
      </w:r>
      <w:r>
        <w:rPr>
          <w:rFonts w:ascii="Times New Roman" w:eastAsia="Times New Roman" w:hAnsi="Times New Roman" w:cs="Times New Roman"/>
        </w:rPr>
        <w:t>і (або більше) груп підпису Електронних документів.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Клієнт повинен уникати механічних пошкоджень Носія, потрапляння вологи, сильного нагріву, дії сильних електромагнітних полів. Не прикладати надмірних зусиль при підключенні та відключенні Носія від комп’ю</w:t>
      </w:r>
      <w:r>
        <w:rPr>
          <w:rFonts w:ascii="Times New Roman" w:eastAsia="Times New Roman" w:hAnsi="Times New Roman" w:cs="Times New Roman"/>
        </w:rPr>
        <w:t>тера.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У разі втрати, викрадення Носія, або виникнення підозр, що в Системі від імені Клієнта було здійснено несанкціоновані операції, Клієнт повинен негайно припинити роботу в Системі та повідомити про це Банк будь-якими доступними засобами, у тому числі, </w:t>
      </w:r>
      <w:r>
        <w:rPr>
          <w:rFonts w:ascii="Times New Roman" w:eastAsia="Times New Roman" w:hAnsi="Times New Roman" w:cs="Times New Roman"/>
        </w:rPr>
        <w:t>але не виключно, засобами Системи та/або телефонним зв’язком, з подальшим наданням оригіналу такого повідомлення (листа), скріпленого підписом Уповноваженої особи Клієнта і відбитком печатки (у разі її наявності).</w:t>
      </w:r>
    </w:p>
    <w:p w:rsidR="00351F59" w:rsidRDefault="00DA5555">
      <w:pPr>
        <w:widowControl/>
        <w:numPr>
          <w:ilvl w:val="0"/>
          <w:numId w:val="2"/>
        </w:numPr>
        <w:tabs>
          <w:tab w:val="left" w:pos="708"/>
          <w:tab w:val="left" w:pos="1263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підставі повідомлення Банк заблокує дос</w:t>
      </w:r>
      <w:r>
        <w:rPr>
          <w:rFonts w:ascii="Times New Roman" w:eastAsia="Times New Roman" w:hAnsi="Times New Roman" w:cs="Times New Roman"/>
        </w:rPr>
        <w:t>туп Користувача до Рахунків та скомпрометований ключ Кваліфікованого ЕП Клієнта для запобігання подальших шахрайських операцій. Клієнту необхідно звірити з Банком останні платежі, отримані Банком від Клієнта засобами Системи, і впевнитися у тому, що викону</w:t>
      </w:r>
      <w:r>
        <w:rPr>
          <w:rFonts w:ascii="Times New Roman" w:eastAsia="Times New Roman" w:hAnsi="Times New Roman" w:cs="Times New Roman"/>
        </w:rPr>
        <w:t>ються усі вимоги даної інструкції; змінити коди Носія (PIN-код і код розблокування), на якому зберігалися скомпрометовані ключі Кваліфікованого ЕП; провести позапланову генерацію скомпрометованого ключа Кваліфікованого ЕП; змінити ім’я Користувача (Логін).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Термін дії ключів Кваліфікованого ЕП встановлюється Банком/кваліфікованим надавачем електронних довірчих послуг, але Клієнт має право самостійно виконувати позапланову зміну ключів Кваліфікованого ЕП у порядку, визначеному Договором.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Наполегливо рекоменду</w:t>
      </w:r>
      <w:r>
        <w:rPr>
          <w:rFonts w:ascii="Times New Roman" w:eastAsia="Times New Roman" w:hAnsi="Times New Roman" w:cs="Times New Roman"/>
        </w:rPr>
        <w:t>ється встановлювати надійні паролі на облікові записи користувачів комп’ютера, коди Носія ключів Кваліфікованого ЕП і не використовувати їх для інших цілей — електронної пошти, соцмереж, кодів авторизацій, тощо.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Паролі та коди Носія повинні:</w:t>
      </w:r>
    </w:p>
    <w:p w:rsidR="00351F59" w:rsidRDefault="00DA5555">
      <w:pPr>
        <w:widowControl/>
        <w:numPr>
          <w:ilvl w:val="1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 містити осо</w:t>
      </w:r>
      <w:r>
        <w:rPr>
          <w:rFonts w:ascii="Times New Roman" w:eastAsia="Times New Roman" w:hAnsi="Times New Roman" w:cs="Times New Roman"/>
        </w:rPr>
        <w:t>бистих даних, які легко отримати третім особам (ім’я, особисті дати, адреси, тощо);</w:t>
      </w:r>
    </w:p>
    <w:p w:rsidR="00351F59" w:rsidRDefault="00DA5555">
      <w:pPr>
        <w:widowControl/>
        <w:numPr>
          <w:ilvl w:val="1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 містити символи, що знаходяться підряд на клавіатурі, наприклад qwerty, 12345;</w:t>
      </w:r>
    </w:p>
    <w:p w:rsidR="00351F59" w:rsidRDefault="00DA5555">
      <w:pPr>
        <w:widowControl/>
        <w:numPr>
          <w:ilvl w:val="1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складатися з 8 – 9 символів та містити букви великі і малі, цифри та спецсимволи, наприкла</w:t>
      </w:r>
      <w:r>
        <w:rPr>
          <w:rFonts w:ascii="Times New Roman" w:eastAsia="Times New Roman" w:hAnsi="Times New Roman" w:cs="Times New Roman"/>
        </w:rPr>
        <w:t>д @GasDeng1.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Рекомендується регулярно змінювати паролі та не використовувати паролі, що застосовувалися раніше.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Клієнт повинен відключити у Інтернет-браузері функцію запам’ятовування або автозаповнення пароля.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Наполегливо рекомендується працювати з Системо</w:t>
      </w:r>
      <w:r>
        <w:rPr>
          <w:rFonts w:ascii="Times New Roman" w:eastAsia="Times New Roman" w:hAnsi="Times New Roman" w:cs="Times New Roman"/>
        </w:rPr>
        <w:t>ю з окремого комп’ютера, виділеного виключно для цих цілей.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Клієнт повинен уникати відвідування інтернет-сторінок (окрім інтернет-сторінок Банку і Системи), соціальних мереж, завантаження файлів, з того комп’ютера, з якого здійснюється робота в Системі, а </w:t>
      </w:r>
      <w:r>
        <w:rPr>
          <w:rFonts w:ascii="Times New Roman" w:eastAsia="Times New Roman" w:hAnsi="Times New Roman" w:cs="Times New Roman"/>
        </w:rPr>
        <w:t>також не використовувати при роботі з Системою незахищені Wi-Fi з‘єднання (в кафе, готелях, офісах, інших громадських місцях).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Клієнт повинен використовувати ліцензійне програмне забезпечення з підтримкою і регулярно оновлювати його до актуальних версій, у</w:t>
      </w:r>
      <w:r>
        <w:rPr>
          <w:rFonts w:ascii="Times New Roman" w:eastAsia="Times New Roman" w:hAnsi="Times New Roman" w:cs="Times New Roman"/>
        </w:rPr>
        <w:t xml:space="preserve"> тому числі антивірусних програмних засобів, на тих комп’ютерах, з яких здійснюється робота в Системі. Регулярне оновлення сигнатурних баз антивірусних засобів і сканування комп’ютерів є обов’язковим!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Клієнт повинен уникати виконання будь-яких програм, що маскуються під банківські та пропонують надати інформацію щодо ключа Кваліфікованого ЕП та паролю доступу до нього. Не натискати на посилання у підозрілих поштових повідомленнях, а також не надавати пе</w:t>
      </w:r>
      <w:r>
        <w:rPr>
          <w:rFonts w:ascii="Times New Roman" w:eastAsia="Times New Roman" w:hAnsi="Times New Roman" w:cs="Times New Roman"/>
        </w:rPr>
        <w:t>рсональну інформацію на будь – яких сайтах, у надійності яких немає впевненості.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Клієнт повинен здійснювати доступ до Системи виключно з інтернет-сторінки Банку, попередньо перевіривши надійність з’єднання (значок «колодка» </w:t>
      </w:r>
      <w:r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114300" distR="114300">
            <wp:extent cx="95250" cy="140970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40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біля адреси сторінки, що свідч</w:t>
      </w:r>
      <w:r>
        <w:rPr>
          <w:rFonts w:ascii="Times New Roman" w:eastAsia="Times New Roman" w:hAnsi="Times New Roman" w:cs="Times New Roman"/>
        </w:rPr>
        <w:t>ить про використання https-сертифікату).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Клієнт повинен уникати обслуговування ненадійними ІТ- спеціалістами комп’ютерів, з яких Клієнт працює в Системі.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Рекомендується застосування Клієнтом таких додаткових заходів безпеки як:</w:t>
      </w:r>
    </w:p>
    <w:p w:rsidR="00351F59" w:rsidRDefault="00DA555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hanging="1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застосування ІР-фільтрації н</w:t>
      </w:r>
      <w:r>
        <w:rPr>
          <w:rFonts w:ascii="Times New Roman" w:eastAsia="Times New Roman" w:hAnsi="Times New Roman" w:cs="Times New Roman"/>
          <w:color w:val="000000"/>
        </w:rPr>
        <w:t>а комп’ютері, з якого здійснюється робота з Системою;</w:t>
      </w:r>
    </w:p>
    <w:p w:rsidR="00351F59" w:rsidRDefault="00DA555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hanging="1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використання додаткової автентифікації (підтвердження електронних документів одноразовим паролем;</w:t>
      </w:r>
    </w:p>
    <w:p w:rsidR="00351F59" w:rsidRDefault="00DA555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hanging="10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</w:rPr>
        <w:t>послуга інформування про руш коштів по рахунках.</w:t>
      </w:r>
    </w:p>
    <w:p w:rsidR="00351F59" w:rsidRDefault="00351F59">
      <w:pPr>
        <w:widowControl/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</w:rPr>
      </w:pPr>
    </w:p>
    <w:p w:rsidR="00351F59" w:rsidRDefault="00351F59">
      <w:pPr>
        <w:widowControl/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</w:rPr>
      </w:pPr>
    </w:p>
    <w:p w:rsidR="00351F59" w:rsidRDefault="00351F59">
      <w:pPr>
        <w:widowControl/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sectPr w:rsidR="00351F59">
      <w:headerReference w:type="default" r:id="rId10"/>
      <w:footerReference w:type="default" r:id="rId11"/>
      <w:pgSz w:w="11909" w:h="16834"/>
      <w:pgMar w:top="616" w:right="569" w:bottom="719" w:left="851" w:header="254" w:footer="2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555" w:rsidRDefault="00DA5555">
      <w:r>
        <w:separator/>
      </w:r>
    </w:p>
  </w:endnote>
  <w:endnote w:type="continuationSeparator" w:id="0">
    <w:p w:rsidR="00DA5555" w:rsidRDefault="00DA5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krainianJournal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F59" w:rsidRDefault="00DA5555">
    <w:pPr>
      <w:widowControl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 xml:space="preserve">аркуш 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instrText>PAGE</w:instrText>
    </w:r>
    <w:r w:rsidR="00450095"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separate"/>
    </w:r>
    <w:r w:rsidR="00450095">
      <w:rPr>
        <w:rFonts w:ascii="Times New Roman" w:eastAsia="Times New Roman" w:hAnsi="Times New Roman" w:cs="Times New Roman"/>
        <w:b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</w:rPr>
      <w:t xml:space="preserve"> з 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instrText>NUMPAGES</w:instrText>
    </w:r>
    <w:r w:rsidR="00450095"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separate"/>
    </w:r>
    <w:r w:rsidR="00450095">
      <w:rPr>
        <w:rFonts w:ascii="Times New Roman" w:eastAsia="Times New Roman" w:hAnsi="Times New Roman" w:cs="Times New Roman"/>
        <w:b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end"/>
    </w:r>
  </w:p>
  <w:p w:rsidR="00351F59" w:rsidRDefault="00351F59">
    <w:pPr>
      <w:widowControl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Times New Roman" w:eastAsia="Times New Roman" w:hAnsi="Times New Roman" w:cs="Times New Roman"/>
        <w:color w:val="000000"/>
      </w:rPr>
    </w:pPr>
  </w:p>
  <w:p w:rsidR="00351F59" w:rsidRDefault="00351F59">
    <w:pPr>
      <w:widowControl/>
      <w:jc w:val="left"/>
      <w:rPr>
        <w:rFonts w:ascii="Times New Roman" w:eastAsia="Times New Roman" w:hAnsi="Times New Roman" w:cs="Times New Roman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555" w:rsidRDefault="00DA5555">
      <w:r>
        <w:separator/>
      </w:r>
    </w:p>
  </w:footnote>
  <w:footnote w:type="continuationSeparator" w:id="0">
    <w:p w:rsidR="00DA5555" w:rsidRDefault="00DA5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F59" w:rsidRDefault="00351F59">
    <w:pPr>
      <w:widowControl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left"/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E736C"/>
    <w:multiLevelType w:val="multilevel"/>
    <w:tmpl w:val="A6DCD83E"/>
    <w:lvl w:ilvl="0">
      <w:start w:val="1"/>
      <w:numFmt w:val="bullet"/>
      <w:pStyle w:val="a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63A14A4"/>
    <w:multiLevelType w:val="multilevel"/>
    <w:tmpl w:val="092EA0B0"/>
    <w:lvl w:ilvl="0">
      <w:start w:val="1"/>
      <w:numFmt w:val="decimal"/>
      <w:pStyle w:val="1"/>
      <w:lvlText w:val="%1."/>
      <w:lvlJc w:val="left"/>
      <w:pPr>
        <w:ind w:left="502" w:hanging="360"/>
      </w:pPr>
    </w:lvl>
    <w:lvl w:ilvl="1">
      <w:start w:val="1"/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F59"/>
    <w:rsid w:val="00351F59"/>
    <w:rsid w:val="00450095"/>
    <w:rsid w:val="00DA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A533D1-1B34-4DCC-86E5-4FB56232E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Journal" w:eastAsia="Journal" w:hAnsi="Journal" w:cs="Journal"/>
        <w:lang w:val="uk-UA" w:eastAsia="uk-UA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ru-RU" w:eastAsia="ru-RU"/>
    </w:rPr>
  </w:style>
  <w:style w:type="paragraph" w:styleId="10">
    <w:name w:val="heading 1"/>
    <w:basedOn w:val="a0"/>
    <w:next w:val="a0"/>
    <w:qFormat/>
    <w:pPr>
      <w:keepNext/>
      <w:outlineLvl w:val="0"/>
    </w:pPr>
    <w:rPr>
      <w:sz w:val="28"/>
      <w:szCs w:val="28"/>
    </w:rPr>
  </w:style>
  <w:style w:type="paragraph" w:styleId="2">
    <w:name w:val="heading 2"/>
    <w:basedOn w:val="a0"/>
    <w:next w:val="a0"/>
    <w:qFormat/>
    <w:pPr>
      <w:keepNext/>
      <w:widowControl/>
      <w:ind w:left="3960"/>
      <w:jc w:val="left"/>
      <w:outlineLvl w:val="1"/>
    </w:pPr>
    <w:rPr>
      <w:rFonts w:ascii="Times New Roman" w:hAnsi="Times New Roman" w:cs="Times New Roman"/>
      <w:i/>
      <w:iCs/>
      <w:lang w:val="uk-UA"/>
    </w:rPr>
  </w:style>
  <w:style w:type="paragraph" w:styleId="3">
    <w:name w:val="heading 3"/>
    <w:basedOn w:val="a0"/>
    <w:next w:val="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0"/>
    <w:next w:val="a0"/>
    <w:qFormat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qFormat/>
    <w:pPr>
      <w:ind w:right="-151"/>
      <w:jc w:val="center"/>
    </w:pPr>
    <w:rPr>
      <w:b/>
      <w:bCs/>
      <w:sz w:val="24"/>
      <w:szCs w:val="24"/>
    </w:rPr>
  </w:style>
  <w:style w:type="character" w:styleId="a5">
    <w:name w:val="annotation reference"/>
    <w:semiHidden/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styleId="a7">
    <w:name w:val="page number"/>
  </w:style>
  <w:style w:type="paragraph" w:styleId="a8">
    <w:name w:val="Balloon Text"/>
    <w:basedOn w:val="a0"/>
    <w:semiHidden/>
    <w:qFormat/>
    <w:pPr>
      <w:widowControl/>
      <w:jc w:val="left"/>
    </w:pPr>
    <w:rPr>
      <w:rFonts w:ascii="Tahoma" w:hAnsi="Tahoma" w:cs="Tahoma"/>
      <w:sz w:val="16"/>
      <w:szCs w:val="16"/>
    </w:rPr>
  </w:style>
  <w:style w:type="paragraph" w:styleId="20">
    <w:name w:val="Body Text 2"/>
    <w:basedOn w:val="a0"/>
    <w:pPr>
      <w:widowControl/>
    </w:pPr>
    <w:rPr>
      <w:rFonts w:ascii="Times New Roman" w:hAnsi="Times New Roman" w:cs="Times New Roman"/>
      <w:color w:val="3366FF"/>
      <w:sz w:val="18"/>
      <w:szCs w:val="18"/>
    </w:rPr>
  </w:style>
  <w:style w:type="paragraph" w:styleId="a9">
    <w:name w:val="Plain Text"/>
    <w:basedOn w:val="a0"/>
    <w:link w:val="aa"/>
    <w:pPr>
      <w:widowControl/>
      <w:autoSpaceDE w:val="0"/>
      <w:autoSpaceDN w:val="0"/>
      <w:jc w:val="left"/>
    </w:pPr>
    <w:rPr>
      <w:rFonts w:ascii="Courier New" w:hAnsi="Courier New" w:cs="Courier New"/>
    </w:rPr>
  </w:style>
  <w:style w:type="paragraph" w:styleId="30">
    <w:name w:val="Body Text Indent 3"/>
    <w:basedOn w:val="a0"/>
    <w:pPr>
      <w:widowControl/>
      <w:ind w:firstLine="720"/>
    </w:pPr>
    <w:rPr>
      <w:rFonts w:ascii="Times New Roman" w:hAnsi="Times New Roman" w:cs="Times New Roman"/>
      <w:color w:val="3366FF"/>
      <w:sz w:val="18"/>
      <w:szCs w:val="18"/>
    </w:rPr>
  </w:style>
  <w:style w:type="paragraph" w:styleId="ab">
    <w:name w:val="annotation text"/>
    <w:basedOn w:val="a0"/>
    <w:link w:val="ac"/>
    <w:semiHidden/>
    <w:pPr>
      <w:widowControl/>
      <w:jc w:val="left"/>
    </w:pPr>
    <w:rPr>
      <w:rFonts w:ascii="Times New Roman" w:hAnsi="Times New Roman" w:cs="Times New Roman"/>
    </w:rPr>
  </w:style>
  <w:style w:type="paragraph" w:styleId="ad">
    <w:name w:val="annotation subject"/>
    <w:basedOn w:val="ab"/>
    <w:next w:val="ab"/>
    <w:semiHidden/>
    <w:qFormat/>
    <w:rPr>
      <w:b/>
      <w:bCs/>
    </w:rPr>
  </w:style>
  <w:style w:type="paragraph" w:styleId="ae">
    <w:name w:val="header"/>
    <w:basedOn w:val="a0"/>
    <w:link w:val="af"/>
    <w:uiPriority w:val="99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cs="Times New Roman"/>
    </w:rPr>
  </w:style>
  <w:style w:type="paragraph" w:styleId="af0">
    <w:name w:val="Body Text"/>
    <w:basedOn w:val="a0"/>
    <w:pPr>
      <w:widowControl/>
      <w:jc w:val="left"/>
    </w:pPr>
    <w:rPr>
      <w:rFonts w:ascii="Times New Roman" w:hAnsi="Times New Roman" w:cs="Times New Roman"/>
      <w:sz w:val="18"/>
      <w:szCs w:val="18"/>
    </w:rPr>
  </w:style>
  <w:style w:type="paragraph" w:styleId="af1">
    <w:name w:val="Body Text Indent"/>
    <w:basedOn w:val="a0"/>
    <w:pPr>
      <w:widowControl/>
      <w:tabs>
        <w:tab w:val="left" w:pos="0"/>
      </w:tabs>
      <w:ind w:firstLine="709"/>
    </w:pPr>
    <w:rPr>
      <w:rFonts w:ascii="Times New Roman" w:hAnsi="Times New Roman" w:cs="Times New Roman"/>
      <w:sz w:val="18"/>
      <w:szCs w:val="18"/>
      <w:lang w:val="uk-UA"/>
    </w:rPr>
  </w:style>
  <w:style w:type="paragraph" w:styleId="af2">
    <w:name w:val="List Bullet"/>
    <w:basedOn w:val="a0"/>
    <w:pPr>
      <w:ind w:left="360" w:hanging="360"/>
    </w:pPr>
  </w:style>
  <w:style w:type="paragraph" w:styleId="af3">
    <w:name w:val="footer"/>
    <w:basedOn w:val="a0"/>
    <w:link w:val="af4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cs="Times New Roman"/>
    </w:rPr>
  </w:style>
  <w:style w:type="paragraph" w:styleId="a">
    <w:name w:val="List"/>
    <w:basedOn w:val="a0"/>
    <w:link w:val="af5"/>
    <w:qFormat/>
    <w:pPr>
      <w:widowControl/>
      <w:numPr>
        <w:numId w:val="1"/>
      </w:numPr>
      <w:spacing w:after="60"/>
    </w:pPr>
    <w:rPr>
      <w:rFonts w:ascii="Arial" w:hAnsi="Arial" w:cs="Times New Roman"/>
      <w:snapToGrid w:val="0"/>
      <w:sz w:val="24"/>
      <w:szCs w:val="24"/>
      <w:lang w:val="zh-CN" w:eastAsia="zh-CN"/>
    </w:rPr>
  </w:style>
  <w:style w:type="paragraph" w:styleId="31">
    <w:name w:val="Body Text 3"/>
    <w:basedOn w:val="a0"/>
    <w:pPr>
      <w:widowControl/>
      <w:jc w:val="left"/>
    </w:pPr>
    <w:rPr>
      <w:rFonts w:ascii="Times New Roman" w:hAnsi="Times New Roman" w:cs="Times New Roman"/>
      <w:color w:val="3366FF"/>
      <w:sz w:val="18"/>
      <w:szCs w:val="18"/>
    </w:rPr>
  </w:style>
  <w:style w:type="paragraph" w:styleId="21">
    <w:name w:val="Body Text Indent 2"/>
    <w:basedOn w:val="a0"/>
    <w:pPr>
      <w:widowControl/>
      <w:autoSpaceDE w:val="0"/>
      <w:autoSpaceDN w:val="0"/>
      <w:ind w:firstLine="720"/>
    </w:pPr>
    <w:rPr>
      <w:rFonts w:ascii="Times New Roman" w:hAnsi="Times New Roman" w:cs="Times New Roman"/>
      <w:i/>
      <w:iCs/>
      <w:sz w:val="28"/>
      <w:szCs w:val="28"/>
    </w:rPr>
  </w:style>
  <w:style w:type="table" w:styleId="af6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Знак"/>
    <w:link w:val="a9"/>
    <w:rPr>
      <w:rFonts w:ascii="Courier New" w:hAnsi="Courier New" w:cs="Courier New"/>
      <w:lang w:val="ru-RU" w:eastAsia="ru-RU"/>
    </w:rPr>
  </w:style>
  <w:style w:type="character" w:customStyle="1" w:styleId="ac">
    <w:name w:val="Текст примечания Знак"/>
    <w:link w:val="ab"/>
    <w:semiHidden/>
    <w:qFormat/>
    <w:rPr>
      <w:lang w:val="ru-RU" w:eastAsia="ru-RU"/>
    </w:rPr>
  </w:style>
  <w:style w:type="character" w:customStyle="1" w:styleId="af">
    <w:name w:val="Верхний колонтитул Знак"/>
    <w:link w:val="ae"/>
    <w:uiPriority w:val="99"/>
    <w:qFormat/>
  </w:style>
  <w:style w:type="character" w:customStyle="1" w:styleId="af4">
    <w:name w:val="Нижний колонтитул Знак"/>
    <w:link w:val="af3"/>
    <w:qFormat/>
  </w:style>
  <w:style w:type="character" w:customStyle="1" w:styleId="af5">
    <w:name w:val="Список Знак"/>
    <w:link w:val="a"/>
    <w:rPr>
      <w:rFonts w:ascii="Arial" w:hAnsi="Arial"/>
      <w:snapToGrid w:val="0"/>
      <w:sz w:val="24"/>
      <w:szCs w:val="24"/>
      <w:lang w:val="zh-CN" w:eastAsia="zh-CN"/>
    </w:rPr>
  </w:style>
  <w:style w:type="paragraph" w:customStyle="1" w:styleId="11">
    <w:name w:val="1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customStyle="1" w:styleId="12">
    <w:name w:val="Знак1"/>
    <w:basedOn w:val="a0"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af7">
    <w:name w:val="Знак Знак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af8">
    <w:name w:val="Знак Знак Знак Знак Знак Знак Знак"/>
    <w:basedOn w:val="a0"/>
    <w:uiPriority w:val="99"/>
    <w:pPr>
      <w:widowControl/>
      <w:jc w:val="left"/>
    </w:pPr>
    <w:rPr>
      <w:rFonts w:ascii="Verdana" w:hAnsi="Verdana" w:cs="Verdana"/>
      <w:lang w:val="en-US" w:eastAsia="en-US"/>
    </w:rPr>
  </w:style>
  <w:style w:type="paragraph" w:customStyle="1" w:styleId="22">
    <w:name w:val="Знак2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customStyle="1" w:styleId="af9">
    <w:name w:val="Знак Знак Знак Знак"/>
    <w:basedOn w:val="a0"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110">
    <w:name w:val="Знак11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styleId="afa">
    <w:name w:val="List Paragraph"/>
    <w:basedOn w:val="a0"/>
    <w:uiPriority w:val="34"/>
    <w:qFormat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13">
    <w:name w:val="Рецензия1"/>
    <w:uiPriority w:val="99"/>
    <w:semiHidden/>
    <w:qFormat/>
    <w:rPr>
      <w:lang w:val="ru-RU" w:eastAsia="ru-RU"/>
    </w:rPr>
  </w:style>
  <w:style w:type="paragraph" w:customStyle="1" w:styleId="40">
    <w:name w:val="Знак Знак4"/>
    <w:basedOn w:val="a0"/>
    <w:qFormat/>
    <w:pPr>
      <w:widowControl/>
      <w:jc w:val="left"/>
    </w:pPr>
    <w:rPr>
      <w:rFonts w:ascii="Verdana" w:hAnsi="Verdana" w:cs="Verdana"/>
      <w:lang w:val="en-US" w:eastAsia="en-US"/>
    </w:rPr>
  </w:style>
  <w:style w:type="paragraph" w:styleId="afb">
    <w:name w:val="No Spacing"/>
    <w:uiPriority w:val="1"/>
    <w:qFormat/>
    <w:rPr>
      <w:rFonts w:ascii="Calibri" w:eastAsia="Calibri" w:hAnsi="Calibri"/>
      <w:sz w:val="22"/>
      <w:szCs w:val="22"/>
      <w:lang w:val="ru-RU" w:eastAsia="en-US"/>
    </w:rPr>
  </w:style>
  <w:style w:type="paragraph" w:customStyle="1" w:styleId="alex">
    <w:name w:val="Îáû÷íûé.alex"/>
    <w:qFormat/>
    <w:rPr>
      <w:rFonts w:ascii="UkrainianJournal" w:hAnsi="UkrainianJournal"/>
      <w:lang w:val="ru-RU" w:eastAsia="ru-RU"/>
    </w:rPr>
  </w:style>
  <w:style w:type="paragraph" w:customStyle="1" w:styleId="1">
    <w:name w:val="Список 1)"/>
    <w:basedOn w:val="a0"/>
    <w:qFormat/>
    <w:pPr>
      <w:widowControl/>
      <w:numPr>
        <w:numId w:val="2"/>
      </w:numPr>
      <w:spacing w:after="60"/>
    </w:pPr>
    <w:rPr>
      <w:rFonts w:ascii="Arial" w:hAnsi="Arial" w:cs="Times New Roman"/>
      <w:sz w:val="24"/>
      <w:szCs w:val="24"/>
    </w:rPr>
  </w:style>
  <w:style w:type="paragraph" w:customStyle="1" w:styleId="afc">
    <w:name w:val="Абзац_Основной текст документа"/>
    <w:basedOn w:val="a0"/>
    <w:link w:val="afd"/>
    <w:qFormat/>
    <w:pPr>
      <w:widowControl/>
      <w:spacing w:before="120" w:after="60"/>
      <w:ind w:firstLine="567"/>
    </w:pPr>
    <w:rPr>
      <w:rFonts w:ascii="Arial" w:hAnsi="Arial" w:cs="Times New Roman"/>
      <w:sz w:val="24"/>
      <w:szCs w:val="24"/>
    </w:rPr>
  </w:style>
  <w:style w:type="character" w:customStyle="1" w:styleId="afd">
    <w:name w:val="Абзац_Основной текст документа Знак"/>
    <w:link w:val="afc"/>
    <w:qFormat/>
    <w:rPr>
      <w:rFonts w:ascii="Arial" w:hAnsi="Arial"/>
      <w:sz w:val="24"/>
      <w:szCs w:val="24"/>
    </w:rPr>
  </w:style>
  <w:style w:type="paragraph" w:styleId="afe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0ugSqgg1yoTL4h3iSbBDAgg5hQ==">AMUW2mVeu1Igu/HkSZ5HPf1u1WK7BOPtLESOD0VAdiX6tHgQzQLqcku52ixBmTJlYeVOy/KKJvSbAu65uTvY4F4K2Tq7Yc7mQ5hz5T2i2HBnCa+CQ/5CF0/lu2SNTDYomY7DBGUQsIIE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4746</Words>
  <Characters>2706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Б.В.Музиченко</dc:creator>
  <cp:lastModifiedBy>Музика Людмила Миколаївна</cp:lastModifiedBy>
  <cp:revision>3</cp:revision>
  <cp:lastPrinted>2023-11-15T09:33:00Z</cp:lastPrinted>
  <dcterms:created xsi:type="dcterms:W3CDTF">2021-02-18T20:52:00Z</dcterms:created>
  <dcterms:modified xsi:type="dcterms:W3CDTF">2023-11-15T09:36:00Z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90D8AF15016F427B897F73BCE36ED6F7</vt:lpwstr>
  </property>
</Properties>
</file>